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D1" w:rsidRPr="00FB6F17" w:rsidRDefault="000603D1" w:rsidP="000603D1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B6F17">
        <w:rPr>
          <w:rFonts w:ascii="Times New Roman" w:hAnsi="Times New Roman" w:cs="Times New Roman"/>
          <w:b/>
          <w:sz w:val="24"/>
          <w:szCs w:val="24"/>
          <w:lang w:val="bg-BG"/>
        </w:rPr>
        <w:t>ПРИЛОЖЕНИЕ 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FB6F17">
        <w:rPr>
          <w:rFonts w:ascii="Times New Roman" w:hAnsi="Times New Roman" w:cs="Times New Roman"/>
          <w:b/>
          <w:sz w:val="24"/>
          <w:szCs w:val="24"/>
          <w:lang w:val="bg-BG"/>
        </w:rPr>
        <w:t>.1.</w:t>
      </w:r>
    </w:p>
    <w:p w:rsidR="000603D1" w:rsidRPr="00FB6F17" w:rsidRDefault="000603D1" w:rsidP="000603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</w:pPr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  <w:t>Таблица за съответствие с минималните технически изисквания</w:t>
      </w:r>
    </w:p>
    <w:p w:rsidR="000603D1" w:rsidRDefault="000603D1" w:rsidP="000603D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  <w:t xml:space="preserve">По Обособена позиция № 1 - </w:t>
      </w:r>
      <w:proofErr w:type="spellStart"/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Доставка</w:t>
      </w:r>
      <w:proofErr w:type="spellEnd"/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  <w:t>, монтаж, настройка и въвеждане в експлоатация</w:t>
      </w:r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</w:t>
      </w:r>
      <w:proofErr w:type="spellEnd"/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PCR </w:t>
      </w:r>
      <w:proofErr w:type="spellStart"/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</w:rPr>
        <w:t>Апарат</w:t>
      </w:r>
      <w:proofErr w:type="spellEnd"/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</w:t>
      </w:r>
      <w:proofErr w:type="spellEnd"/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</w:rPr>
        <w:t>амплификация</w:t>
      </w:r>
      <w:proofErr w:type="spellEnd"/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</w:t>
      </w:r>
      <w:proofErr w:type="spellEnd"/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</w:rPr>
        <w:t>нуклеинови</w:t>
      </w:r>
      <w:proofErr w:type="spellEnd"/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</w:rPr>
        <w:t>киселини</w:t>
      </w:r>
      <w:proofErr w:type="spellEnd"/>
      <w:r w:rsidRPr="00FB6F17">
        <w:rPr>
          <w:rFonts w:ascii="Times New Roman" w:eastAsia="Calibri" w:hAnsi="Times New Roman" w:cs="Times New Roman"/>
          <w:b/>
          <w:sz w:val="28"/>
          <w:szCs w:val="28"/>
          <w:u w:val="single"/>
        </w:rPr>
        <w:t>;</w:t>
      </w:r>
    </w:p>
    <w:p w:rsidR="000603D1" w:rsidRDefault="000603D1" w:rsidP="000603D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3290"/>
        <w:gridCol w:w="2468"/>
      </w:tblGrid>
      <w:tr w:rsidR="000603D1" w:rsidRPr="000603D1" w:rsidTr="00E801E0">
        <w:tc>
          <w:tcPr>
            <w:tcW w:w="6594" w:type="dxa"/>
            <w:gridSpan w:val="2"/>
            <w:vAlign w:val="bottom"/>
          </w:tcPr>
          <w:p w:rsidR="000603D1" w:rsidRPr="00FB6F17" w:rsidRDefault="000603D1" w:rsidP="00060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B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МИНИМАЛНИ ТЕХНИЧЕС</w:t>
            </w:r>
            <w:bookmarkStart w:id="0" w:name="_GoBack"/>
            <w:bookmarkEnd w:id="0"/>
            <w:r w:rsidRPr="00FB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КИ ИЗИСКВАНИЯ</w:t>
            </w:r>
          </w:p>
        </w:tc>
        <w:tc>
          <w:tcPr>
            <w:tcW w:w="2468" w:type="dxa"/>
          </w:tcPr>
          <w:p w:rsidR="000603D1" w:rsidRPr="00FB6F17" w:rsidRDefault="000603D1" w:rsidP="00060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B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ПРЕДЛОЖЕНИЕ НА УЧАСТНИКА</w:t>
            </w: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Технология на нагряване на блока  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Peltier</w:t>
            </w:r>
            <w:proofErr w:type="spellEnd"/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„Отворен“ тип система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съвместима с китове и реактиви от различни производители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Капацитет на блока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96 ямки х 0.2 ml /0.5 ml (обем на пробата)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Скорост на нагряване на блока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не по-малка от 7,0°С/сек.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Скорост на охлаждане на блока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не по-малка от 5,0°С/сек.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Възможност за контрол на скоростта 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0,1°С/сек.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Температурен обхват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4 ÷ 100°С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Точност на поддържаната температура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не повече от 0.3°С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Поддържана температурна хомогенност в отделните ямки на блока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не повече от 0,3 °С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Температурен обхват на капака  (предпазване от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конденз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)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90÷110°С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Градиентен обхват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20÷100°С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Обхват на възможната температурната разлика в отделните ямки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 ÷ 25°С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7 инчов сензорен LCD дисплей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Софтуерна програма за обработка на данни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събиране, обработка, съхранение и архивиране на аналитичните данни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USB порт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USB 2.0, да разполага с два входа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Апаратът да е приложим за извършване на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амплификация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на: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- РНК на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Hepatitis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C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Virus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в проби от сборни човешки плазми </w:t>
            </w:r>
          </w:p>
          <w:p w:rsidR="000603D1" w:rsidRPr="000603D1" w:rsidRDefault="000603D1" w:rsidP="000603D1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-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>Mycobacterium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sp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. в проби от BCG ваксини.   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Условия на заобикалящата среда: </w:t>
            </w:r>
          </w:p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- температура</w:t>
            </w:r>
          </w:p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- влажност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ind w:left="71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:rsidR="000603D1" w:rsidRPr="000603D1" w:rsidRDefault="000603D1" w:rsidP="000603D1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15 – 30°С</w:t>
            </w:r>
          </w:p>
          <w:p w:rsidR="000603D1" w:rsidRPr="000603D1" w:rsidRDefault="000603D1" w:rsidP="000603D1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20 – 80 %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ind w:left="71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Входящо захранване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100–240 V, 50–60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Hz</w:t>
            </w:r>
            <w:proofErr w:type="spellEnd"/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rPr>
          <w:trHeight w:val="70"/>
        </w:trPr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Функция за пауза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Тегло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до 10 кг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Срок на гаранционна поддръжка и обслужване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минимум 24 месеца, но не повече от 60 месеца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3304" w:type="dxa"/>
          </w:tcPr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Срок за изпълнение  </w:t>
            </w:r>
          </w:p>
        </w:tc>
        <w:tc>
          <w:tcPr>
            <w:tcW w:w="3290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до 35 календарни дни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6594" w:type="dxa"/>
            <w:gridSpan w:val="2"/>
          </w:tcPr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Валидационна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документация IQ/OQ/PQ:</w:t>
            </w:r>
          </w:p>
          <w:p w:rsidR="000603D1" w:rsidRPr="000603D1" w:rsidRDefault="000603D1" w:rsidP="000603D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- Проверка на операционната готовност на системата при инсталация (IQ).</w:t>
            </w:r>
          </w:p>
          <w:p w:rsidR="000603D1" w:rsidRPr="000603D1" w:rsidRDefault="000603D1" w:rsidP="000603D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- Проверка на операционната готовност на аналитичните системи (OQ/PV).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6594" w:type="dxa"/>
            <w:gridSpan w:val="2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Инсталиране, обучение, гаранционен сервиз:</w:t>
            </w:r>
          </w:p>
          <w:p w:rsidR="000603D1" w:rsidRPr="000603D1" w:rsidRDefault="000603D1" w:rsidP="000603D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- Инсталирането, пускането в действие и обучението на персонала, да се проведе с реална проба и с консумативи и реактиви на доставчика на PCR апарата. 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6594" w:type="dxa"/>
            <w:gridSpan w:val="2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Осигурени ръководства и инструкции за експлоатация на апарата и програмните продукти;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6594" w:type="dxa"/>
            <w:gridSpan w:val="2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През гаранционния срок доставчикът се задължава да отстранява за своя сметка скритите недостатъци и появилите се дефекти след пускане на апарата  в експлоатация, включително и да заменя износените следствие на обичайната експлоатация на апарата части.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6594" w:type="dxa"/>
            <w:gridSpan w:val="2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Време за реакция при възникване на сервизен проблем до 4 ч. и време на отстраняване на проблема до 3 работни дни.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необходимост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доставка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резервна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срокът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удължава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периода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доставката</w:t>
            </w:r>
            <w:proofErr w:type="spellEnd"/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03D1" w:rsidRPr="000603D1" w:rsidTr="000603D1">
        <w:tc>
          <w:tcPr>
            <w:tcW w:w="6594" w:type="dxa"/>
            <w:gridSpan w:val="2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603D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Извършване на профилактика и контрол на качеството на апаратурата, съгласно инструкциите на производителя</w:t>
            </w:r>
          </w:p>
        </w:tc>
        <w:tc>
          <w:tcPr>
            <w:tcW w:w="2468" w:type="dxa"/>
          </w:tcPr>
          <w:p w:rsidR="000603D1" w:rsidRPr="000603D1" w:rsidRDefault="000603D1" w:rsidP="00060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0603D1" w:rsidRPr="00FB6F17" w:rsidRDefault="000603D1" w:rsidP="000603D1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0603D1" w:rsidRPr="00FB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BC"/>
    <w:rsid w:val="000603D1"/>
    <w:rsid w:val="0041424B"/>
    <w:rsid w:val="00D7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E31FD-3F5A-43B7-8C57-B0F8787D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3D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Diamandiev</dc:creator>
  <cp:keywords/>
  <dc:description/>
  <cp:lastModifiedBy>Nikolay Diamandiev</cp:lastModifiedBy>
  <cp:revision>2</cp:revision>
  <dcterms:created xsi:type="dcterms:W3CDTF">2016-11-22T08:04:00Z</dcterms:created>
  <dcterms:modified xsi:type="dcterms:W3CDTF">2016-11-22T08:07:00Z</dcterms:modified>
</cp:coreProperties>
</file>